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266 vom 16. Januar 1992</w:t>
      </w:r>
    </w:p>
    <w:p>
      <w:r>
        <w:t>Bundesgericht (BGE), 1992-01-16, DE</w:t>
      </w:r>
    </w:p>
    <w:p>
      <w:r>
        <w:rPr>
          <w:b/>
        </w:rPr>
        <w:t xml:space="preserve">Quelle: </w:t>
      </w:r>
      <w:r>
        <w:t>https://mcp.opencaselaw.ch/entscheid/bge_118 IB 266</w:t>
      </w:r>
    </w:p>
    <w:p>
      <w:r>
        <w:t>FR: BGE 118 IB 266 du 16 janvier 1992</w:t>
      </w:r>
    </w:p>
    <w:p>
      <w:r>
        <w:t>IT: BGE 118 IB 266 del 16 gennaio 1992</w:t>
      </w:r>
    </w:p>
    <w:p>
      <w:pPr>
        <w:pStyle w:val="Heading2"/>
      </w:pPr>
      <w:r>
        <w:t>Regeste</w:t>
      </w:r>
    </w:p>
    <w:p>
      <w:r>
        <w:t>Regeste Internationale Rechtshilfe in Strafsachen, Staatsvertrag zwischen der Schweiz und den USA über gegenseitige Rechtshilfe in Strafsachen (RVUS). Im Rahmen des dem RVUS unterstellten Rechtshilfeverkehrs ist die Frage des Verjährungseintritts nicht zu prüfen.</w:t>
      </w:r>
    </w:p>
    <w:p>
      <w:pPr>
        <w:pStyle w:val="Heading2"/>
      </w:pPr>
      <w:r>
        <w:t>Erwägungen</w:t>
      </w:r>
    </w:p>
    <w:p>
      <w:r>
        <w:rPr>
          <w:b/>
        </w:rPr>
        <w:t>E. 4</w:t>
      </w:r>
    </w:p>
    <w:p>
      <w:r>
        <w:t>b) bb) Nachdem sich die ursprünglichen Begehren der amerikanischen Behörden auf den Zeitraum von September 1979 bis Mai 1984 bezogen hatten, soll der verdächtige Handel laut dem vorliegenden Ergänzungsersuchen bis mindestens November 1988 gedauert haben. In Berücksichtigung einer absoluten Verjährungsfrist von 7 1/2 Jahren (Art. 162 und 321 in Verbindung mit Art. 70 und 72 StGB , Art. 5 Abs. 1 lit. c IRSG ) wäre somit entgegen der Auffassung der Beschwerdeführerin jedenfalls auf den vom Ergänzungsersuchen erfassten Zeitraum bezogen die absolute Strafverfolgungsverjährung kaum eingetreten. Wie es sich damit im einzelnen verhält, kann indes aus den nachfolgenden Gründen offenbleiben. Wie die für die Schweiz gemäss der von ihr abgegebenen Erklärung anwendbare Bestimmung des Art. 5 Ziff. 1 lit. a EÜR (SR 0.351.1), so enthält auch die für Zwangsmassnahmen die beidseitige Strafbarkeit voraussetzende Bestimmung von Art. 4 RVUS BGE 118 Ib 266 S. 268 keinen Hinweis auf die Verjährung, während das IRSG Zwangsmassnahmen ausschliesst, wenn nach schweizerischem Recht die absolute Verjährung der Strafverfolgung oder -vollstreckung eingetreten ist ( Art. 5 Abs. 1 lit. c IRSG ); nach Art. 4 RVUS müssen für die Anordnung von Zwangsmassnahmen nur die objektiven Tatbestandsmerkmale erfüllt sein, wozu die Frage der Verjährung klarerweise nicht gehört. Das Bundesgericht hat kürzlich entschieden, dass dem Verjährungseintritt im Rahmen des dem EÜR unterstellten Rechtshilfeverkehrs nicht Rechnung zu tragen ist ( BGE 117 Ib 53 ff.). Diese Lösung gelangt gemäss dem betreffenden Entscheid nur dann nicht zur Anwendung, wenn es um Rechtshilfemassnahmen geht, für die das IRSG selber massgebend ist, da eben wie erwähnt nach dessen Art. 5 Abs. 1 lit. c einem Ersuchen nicht entsprochen wird, soweit seine Ausführung Zwangsmassnahmen erfordert und die Strafverfolgung oder die Vollstreckung nach schweizerischem Recht wegen absoluter Verjährung ausgeschlossen wäre. Gleich wie mit Bezug auf das EÜR hat das Bundesgericht neulich in bezug auf Rechtshilfemassnahmen nach dem schweizerisch-deutschen Zusatzvertrag zum EÜR (SR 0.351.913.61) entschieden (nicht publ. Urteil vom 13. November 1991 i.S. B.). Gründe, weshalb hinsichtlich der nach dem RVUS abzuwickelnden Rechtshilfemassnahmen anders vorzugehen wäre, sind nicht ersichtlich. Aus denselben Überlegungen, wie sie den beiden soeben erwähnten Urteilen zugrundeliegen, drängt es sich auf, dem Verjährungseintritt auch im Rahmen des dem RVUS unterstellten Rechtshilfeverkehrs nicht Rechnung zu tragen (im Ergebnis übereinstimmend übrigens schon nicht publ. Urteil des Bundesgerichts vom 22. November 1983 i.S. M. L.); es kann dabei auf die einlässlichen Ausführungen in BGE 117 Ib 58 ff. verwiesen werden. Zwar versucht die Beschwerdeführerin, das BAP darauf zu "behaften", dass es in der Zwischenverfügung vom 22. Februar 1991 Verjährung gemäss Art. 5 Abs. 1 lit. c IRSG vorgesehen habe. Tatsächlich steht aber bereits in dieser Zwischenverfügung: "... So ist die Verjährung im Verhältnis mit den USA nicht zu berücksichtigen." Bloss für den Fall, dass der Verjährungseinwand der Beschwerdeführerin Gehör finden würde, wurde beigefügt, dass jedenfalls lediglich die absolute und entgegen der Auffassung der Beschwerdeführerin nicht die relative Verjährungsfrist beachtlich sein könnte. BGE 118 Ib 266 S. 269 Auf den Einwand, dem Ersuchen dürfe wegen inzwischen bereits eingetretener Verjährung nicht entsprochen werden, ist demnach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